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05D018" w14:textId="7414AFEA" w:rsidR="00233574" w:rsidRPr="00233574" w:rsidRDefault="00FE5226" w:rsidP="00830518">
      <w:pPr>
        <w:spacing w:line="360" w:lineRule="auto"/>
        <w:jc w:val="left"/>
        <w:rPr>
          <w:rFonts w:ascii="Times New Roman" w:eastAsiaTheme="majorHAnsi" w:hAnsi="Times New Roman" w:cs="Times New Roman"/>
          <w:sz w:val="24"/>
          <w:szCs w:val="24"/>
          <w:lang w:val="en-GB"/>
        </w:rPr>
      </w:pPr>
      <w:r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Supplement</w:t>
      </w:r>
      <w:r w:rsidR="00233574" w:rsidRPr="0068140F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>T</w:t>
      </w:r>
      <w:r w:rsidRPr="0068140F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able:</w:t>
      </w:r>
      <w:r w:rsidR="00233574" w:rsidRPr="00233574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233574" w:rsidRPr="00233574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 xml:space="preserve">Quality scores of observational studies in the </w:t>
      </w:r>
      <w:r w:rsidR="00233574" w:rsidRPr="00233574">
        <w:rPr>
          <w:rFonts w:ascii="Times New Roman" w:eastAsiaTheme="majorHAnsi" w:hAnsi="Times New Roman" w:cs="Times New Roman"/>
          <w:sz w:val="24"/>
          <w:szCs w:val="24"/>
          <w:lang w:val="en-GB"/>
        </w:rPr>
        <w:t>meta-analysis</w:t>
      </w:r>
      <w:r w:rsidR="00233574" w:rsidRPr="00233574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 xml:space="preserve"> based on</w:t>
      </w:r>
      <w:r w:rsidR="00233574" w:rsidRPr="00233574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NOS </w:t>
      </w:r>
      <w:r w:rsidR="00233574" w:rsidRPr="00141240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scor</w:t>
      </w:r>
      <w:r w:rsidR="00233574">
        <w:rPr>
          <w:rFonts w:ascii="Times New Roman" w:eastAsiaTheme="majorHAnsi" w:hAnsi="Times New Roman" w:cs="Times New Roman"/>
          <w:sz w:val="24"/>
          <w:szCs w:val="24"/>
          <w:lang w:val="en-GB"/>
        </w:rPr>
        <w:t>ing</w:t>
      </w:r>
      <w:r w:rsidR="00233574" w:rsidRPr="00141240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 xml:space="preserve"> system</w:t>
      </w:r>
    </w:p>
    <w:tbl>
      <w:tblPr>
        <w:tblStyle w:val="4"/>
        <w:tblW w:w="8236" w:type="dxa"/>
        <w:tblLook w:val="04A0" w:firstRow="1" w:lastRow="0" w:firstColumn="1" w:lastColumn="0" w:noHBand="0" w:noVBand="1"/>
      </w:tblPr>
      <w:tblGrid>
        <w:gridCol w:w="1483"/>
        <w:gridCol w:w="1144"/>
        <w:gridCol w:w="990"/>
        <w:gridCol w:w="1483"/>
        <w:gridCol w:w="1871"/>
        <w:gridCol w:w="1265"/>
      </w:tblGrid>
      <w:tr w:rsidR="00233574" w:rsidRPr="00233574" w14:paraId="31C7D9AB" w14:textId="77777777" w:rsidTr="00AD59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9CA694" w14:textId="77777777" w:rsidR="00233574" w:rsidRPr="004F7252" w:rsidRDefault="00233574" w:rsidP="0083051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StudyID</w:t>
            </w:r>
          </w:p>
        </w:tc>
        <w:tc>
          <w:tcPr>
            <w:tcW w:w="0" w:type="auto"/>
          </w:tcPr>
          <w:p w14:paraId="78AF541A" w14:textId="77777777" w:rsidR="00233574" w:rsidRPr="004F7252" w:rsidRDefault="00233574" w:rsidP="008305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StudyType</w:t>
            </w:r>
          </w:p>
        </w:tc>
        <w:tc>
          <w:tcPr>
            <w:tcW w:w="0" w:type="auto"/>
          </w:tcPr>
          <w:p w14:paraId="793A6F90" w14:textId="77777777" w:rsidR="00233574" w:rsidRPr="004F7252" w:rsidRDefault="00233574" w:rsidP="008305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Selection</w:t>
            </w:r>
          </w:p>
        </w:tc>
        <w:tc>
          <w:tcPr>
            <w:tcW w:w="0" w:type="auto"/>
          </w:tcPr>
          <w:p w14:paraId="51D6ECE9" w14:textId="77777777" w:rsidR="00233574" w:rsidRPr="004F7252" w:rsidRDefault="00233574" w:rsidP="008305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Comparability</w:t>
            </w:r>
          </w:p>
        </w:tc>
        <w:tc>
          <w:tcPr>
            <w:tcW w:w="0" w:type="auto"/>
          </w:tcPr>
          <w:p w14:paraId="3D4B7B64" w14:textId="77777777" w:rsidR="00233574" w:rsidRPr="004F7252" w:rsidRDefault="00233574" w:rsidP="008305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Outcome/Exposure</w:t>
            </w:r>
          </w:p>
        </w:tc>
        <w:tc>
          <w:tcPr>
            <w:tcW w:w="0" w:type="auto"/>
          </w:tcPr>
          <w:p w14:paraId="13C96F84" w14:textId="77777777" w:rsidR="00233574" w:rsidRPr="004F7252" w:rsidRDefault="00233574" w:rsidP="008305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Total Scores</w:t>
            </w:r>
          </w:p>
        </w:tc>
      </w:tr>
      <w:tr w:rsidR="00233574" w:rsidRPr="00233574" w14:paraId="683760E5" w14:textId="77777777" w:rsidTr="00AD5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F6503C" w14:textId="77777777" w:rsidR="00233574" w:rsidRPr="004F7252" w:rsidRDefault="00233574" w:rsidP="0083051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Oltmanns2014</w:t>
            </w:r>
          </w:p>
        </w:tc>
        <w:tc>
          <w:tcPr>
            <w:tcW w:w="0" w:type="auto"/>
          </w:tcPr>
          <w:p w14:paraId="3670E2D7" w14:textId="77777777" w:rsidR="00233574" w:rsidRPr="004F7252" w:rsidRDefault="00233574" w:rsidP="008305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</w:p>
        </w:tc>
        <w:tc>
          <w:tcPr>
            <w:tcW w:w="0" w:type="auto"/>
          </w:tcPr>
          <w:p w14:paraId="23BB322A" w14:textId="77777777" w:rsidR="00233574" w:rsidRPr="004F7252" w:rsidRDefault="00233574" w:rsidP="008305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Segoe UI Symbol" w:hAnsi="Segoe UI Symbol" w:cs="Segoe UI Symbol"/>
                <w:sz w:val="20"/>
                <w:szCs w:val="20"/>
              </w:rPr>
              <w:t>★★★★</w:t>
            </w:r>
          </w:p>
        </w:tc>
        <w:tc>
          <w:tcPr>
            <w:tcW w:w="0" w:type="auto"/>
          </w:tcPr>
          <w:p w14:paraId="5F8049DA" w14:textId="77777777" w:rsidR="00233574" w:rsidRPr="004F7252" w:rsidRDefault="00233574" w:rsidP="008305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Segoe UI Symbol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0" w:type="auto"/>
          </w:tcPr>
          <w:p w14:paraId="579E0CCE" w14:textId="77777777" w:rsidR="00233574" w:rsidRPr="004F7252" w:rsidRDefault="00233574" w:rsidP="008305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Segoe UI Symbol" w:hAnsi="Segoe UI Symbol" w:cs="Segoe UI Symbol"/>
                <w:sz w:val="20"/>
                <w:szCs w:val="20"/>
              </w:rPr>
              <w:t>★★</w:t>
            </w:r>
          </w:p>
        </w:tc>
        <w:tc>
          <w:tcPr>
            <w:tcW w:w="0" w:type="auto"/>
          </w:tcPr>
          <w:p w14:paraId="655E2828" w14:textId="77777777" w:rsidR="00233574" w:rsidRPr="004F7252" w:rsidRDefault="00233574" w:rsidP="008305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33574" w:rsidRPr="00233574" w14:paraId="712620A8" w14:textId="77777777" w:rsidTr="00AD5930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8D0D48" w14:textId="77777777" w:rsidR="00233574" w:rsidRPr="004F7252" w:rsidRDefault="00233574" w:rsidP="0083051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Bonella2013</w:t>
            </w:r>
          </w:p>
        </w:tc>
        <w:tc>
          <w:tcPr>
            <w:tcW w:w="0" w:type="auto"/>
          </w:tcPr>
          <w:p w14:paraId="51433FB3" w14:textId="77777777" w:rsidR="00233574" w:rsidRPr="004F7252" w:rsidRDefault="00233574" w:rsidP="008305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</w:p>
        </w:tc>
        <w:tc>
          <w:tcPr>
            <w:tcW w:w="0" w:type="auto"/>
          </w:tcPr>
          <w:p w14:paraId="1BEF86E1" w14:textId="77777777" w:rsidR="00233574" w:rsidRPr="004F7252" w:rsidRDefault="00233574" w:rsidP="008305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Segoe UI Symbol" w:hAnsi="Segoe UI Symbol" w:cs="Segoe UI Symbol"/>
                <w:sz w:val="20"/>
                <w:szCs w:val="20"/>
              </w:rPr>
              <w:t>★★★★</w:t>
            </w:r>
          </w:p>
        </w:tc>
        <w:tc>
          <w:tcPr>
            <w:tcW w:w="0" w:type="auto"/>
          </w:tcPr>
          <w:p w14:paraId="4F1618D7" w14:textId="77777777" w:rsidR="00233574" w:rsidRPr="004F7252" w:rsidRDefault="00233574" w:rsidP="008305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Segoe UI Symbol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0" w:type="auto"/>
          </w:tcPr>
          <w:p w14:paraId="1DC3C54D" w14:textId="77777777" w:rsidR="00233574" w:rsidRPr="004F7252" w:rsidRDefault="00233574" w:rsidP="008305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Segoe UI Symbol" w:hAnsi="Segoe UI Symbol" w:cs="Segoe UI Symbol"/>
                <w:sz w:val="20"/>
                <w:szCs w:val="20"/>
              </w:rPr>
              <w:t>★★</w:t>
            </w:r>
          </w:p>
        </w:tc>
        <w:tc>
          <w:tcPr>
            <w:tcW w:w="0" w:type="auto"/>
          </w:tcPr>
          <w:p w14:paraId="7A74E29A" w14:textId="77777777" w:rsidR="00233574" w:rsidRPr="004F7252" w:rsidRDefault="00233574" w:rsidP="008305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33574" w:rsidRPr="00233574" w14:paraId="165DBDD5" w14:textId="77777777" w:rsidTr="00AD5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EBFD0D4" w14:textId="77777777" w:rsidR="00233574" w:rsidRPr="004F7252" w:rsidRDefault="00233574" w:rsidP="0083051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Mao2018</w:t>
            </w:r>
          </w:p>
        </w:tc>
        <w:tc>
          <w:tcPr>
            <w:tcW w:w="0" w:type="auto"/>
          </w:tcPr>
          <w:p w14:paraId="7FBB4255" w14:textId="77777777" w:rsidR="00233574" w:rsidRPr="004F7252" w:rsidRDefault="00233574" w:rsidP="008305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</w:p>
        </w:tc>
        <w:tc>
          <w:tcPr>
            <w:tcW w:w="0" w:type="auto"/>
          </w:tcPr>
          <w:p w14:paraId="4DECB79B" w14:textId="77777777" w:rsidR="00233574" w:rsidRPr="004F7252" w:rsidRDefault="00233574" w:rsidP="008305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Segoe UI Symbol" w:hAnsi="Segoe UI Symbol" w:cs="Segoe UI Symbol"/>
                <w:sz w:val="20"/>
                <w:szCs w:val="20"/>
              </w:rPr>
              <w:t>★★★★</w:t>
            </w:r>
          </w:p>
        </w:tc>
        <w:tc>
          <w:tcPr>
            <w:tcW w:w="0" w:type="auto"/>
          </w:tcPr>
          <w:p w14:paraId="0D4C918C" w14:textId="77777777" w:rsidR="00233574" w:rsidRPr="004F7252" w:rsidRDefault="00233574" w:rsidP="008305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Segoe UI Symbol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0" w:type="auto"/>
          </w:tcPr>
          <w:p w14:paraId="4D787256" w14:textId="77777777" w:rsidR="00233574" w:rsidRPr="004F7252" w:rsidRDefault="00233574" w:rsidP="008305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Segoe UI Symbol" w:hAnsi="Segoe UI Symbol" w:cs="Segoe UI Symbol"/>
                <w:sz w:val="20"/>
                <w:szCs w:val="20"/>
              </w:rPr>
              <w:t>★★★</w:t>
            </w:r>
          </w:p>
        </w:tc>
        <w:tc>
          <w:tcPr>
            <w:tcW w:w="0" w:type="auto"/>
          </w:tcPr>
          <w:p w14:paraId="20C73C37" w14:textId="77777777" w:rsidR="00233574" w:rsidRPr="004F7252" w:rsidRDefault="00233574" w:rsidP="008305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33574" w:rsidRPr="00233574" w14:paraId="0BE6339F" w14:textId="77777777" w:rsidTr="00AD5930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5486288" w14:textId="77777777" w:rsidR="00233574" w:rsidRPr="004F7252" w:rsidRDefault="00233574" w:rsidP="0083051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Ma2018</w:t>
            </w:r>
          </w:p>
        </w:tc>
        <w:tc>
          <w:tcPr>
            <w:tcW w:w="0" w:type="auto"/>
          </w:tcPr>
          <w:p w14:paraId="64F8C030" w14:textId="77777777" w:rsidR="00233574" w:rsidRPr="004F7252" w:rsidRDefault="00233574" w:rsidP="008305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</w:p>
        </w:tc>
        <w:tc>
          <w:tcPr>
            <w:tcW w:w="0" w:type="auto"/>
          </w:tcPr>
          <w:p w14:paraId="35F1E7E6" w14:textId="77777777" w:rsidR="00233574" w:rsidRPr="004F7252" w:rsidRDefault="00233574" w:rsidP="008305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Segoe UI Symbol" w:hAnsi="Segoe UI Symbol" w:cs="Segoe UI Symbol"/>
                <w:sz w:val="20"/>
                <w:szCs w:val="20"/>
              </w:rPr>
              <w:t>★★★★</w:t>
            </w:r>
          </w:p>
        </w:tc>
        <w:tc>
          <w:tcPr>
            <w:tcW w:w="0" w:type="auto"/>
          </w:tcPr>
          <w:p w14:paraId="1C5A4311" w14:textId="77777777" w:rsidR="00233574" w:rsidRPr="004F7252" w:rsidRDefault="00233574" w:rsidP="008305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Segoe UI Symbol" w:hAnsi="Segoe UI Symbol" w:cs="Segoe UI Symbol"/>
                <w:sz w:val="20"/>
                <w:szCs w:val="20"/>
              </w:rPr>
              <w:t>★★</w:t>
            </w:r>
          </w:p>
        </w:tc>
        <w:tc>
          <w:tcPr>
            <w:tcW w:w="0" w:type="auto"/>
          </w:tcPr>
          <w:p w14:paraId="4DCB94DA" w14:textId="77777777" w:rsidR="00233574" w:rsidRPr="004F7252" w:rsidRDefault="00233574" w:rsidP="008305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Segoe UI Symbol" w:hAnsi="Segoe UI Symbol" w:cs="Segoe UI Symbol"/>
                <w:sz w:val="20"/>
                <w:szCs w:val="20"/>
              </w:rPr>
              <w:t>★★</w:t>
            </w:r>
          </w:p>
        </w:tc>
        <w:tc>
          <w:tcPr>
            <w:tcW w:w="0" w:type="auto"/>
          </w:tcPr>
          <w:p w14:paraId="161A5972" w14:textId="77777777" w:rsidR="00233574" w:rsidRPr="004F7252" w:rsidRDefault="00233574" w:rsidP="008305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33574" w:rsidRPr="00233574" w14:paraId="54CBE0CF" w14:textId="77777777" w:rsidTr="00AD5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9572000" w14:textId="77777777" w:rsidR="00233574" w:rsidRPr="004F7252" w:rsidRDefault="00233574" w:rsidP="0083051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Sakamoto2014</w:t>
            </w:r>
          </w:p>
        </w:tc>
        <w:tc>
          <w:tcPr>
            <w:tcW w:w="0" w:type="auto"/>
          </w:tcPr>
          <w:p w14:paraId="3E734D2F" w14:textId="77777777" w:rsidR="00233574" w:rsidRPr="004F7252" w:rsidRDefault="00233574" w:rsidP="008305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0" w:type="auto"/>
          </w:tcPr>
          <w:p w14:paraId="6864CBDA" w14:textId="77777777" w:rsidR="00233574" w:rsidRPr="004F7252" w:rsidRDefault="00233574" w:rsidP="008305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Segoe UI Symbol" w:hAnsi="Segoe UI Symbol" w:cs="Segoe UI Symbol"/>
                <w:sz w:val="20"/>
                <w:szCs w:val="20"/>
              </w:rPr>
              <w:t>★★★</w:t>
            </w:r>
          </w:p>
        </w:tc>
        <w:tc>
          <w:tcPr>
            <w:tcW w:w="0" w:type="auto"/>
          </w:tcPr>
          <w:p w14:paraId="7DED6AD8" w14:textId="77777777" w:rsidR="00233574" w:rsidRPr="004F7252" w:rsidRDefault="00233574" w:rsidP="008305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Segoe UI Symbol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0" w:type="auto"/>
          </w:tcPr>
          <w:p w14:paraId="1828DBF4" w14:textId="77777777" w:rsidR="00233574" w:rsidRPr="004F7252" w:rsidRDefault="00233574" w:rsidP="008305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Segoe UI Symbol" w:hAnsi="Segoe UI Symbol" w:cs="Segoe UI Symbol"/>
                <w:sz w:val="20"/>
                <w:szCs w:val="20"/>
              </w:rPr>
              <w:t>★★</w:t>
            </w:r>
          </w:p>
        </w:tc>
        <w:tc>
          <w:tcPr>
            <w:tcW w:w="0" w:type="auto"/>
          </w:tcPr>
          <w:p w14:paraId="728AE04D" w14:textId="77777777" w:rsidR="00233574" w:rsidRPr="004F7252" w:rsidRDefault="00233574" w:rsidP="008305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725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</w:tbl>
    <w:p w14:paraId="7078515E" w14:textId="697F6156" w:rsidR="00233574" w:rsidRDefault="00233574" w:rsidP="009B3762">
      <w:pPr>
        <w:spacing w:line="360" w:lineRule="auto"/>
        <w:jc w:val="left"/>
        <w:rPr>
          <w:rFonts w:ascii="Times New Roman" w:eastAsiaTheme="majorHAnsi" w:hAnsi="Times New Roman" w:cs="Times New Roman"/>
          <w:sz w:val="20"/>
          <w:szCs w:val="20"/>
          <w:lang w:val="en-GB"/>
        </w:rPr>
      </w:pPr>
      <w:r w:rsidRPr="0068140F">
        <w:rPr>
          <w:rFonts w:ascii="Times New Roman" w:eastAsiaTheme="majorHAnsi" w:hAnsi="Times New Roman" w:cs="Times New Roman"/>
          <w:b/>
          <w:bCs/>
          <w:sz w:val="20"/>
          <w:szCs w:val="20"/>
          <w:lang w:val="en-GB"/>
        </w:rPr>
        <w:t>Abbreviations:</w:t>
      </w:r>
      <w:r w:rsidRPr="00233574">
        <w:rPr>
          <w:rFonts w:ascii="Times New Roman" w:eastAsiaTheme="majorHAnsi" w:hAnsi="Times New Roman" w:cs="Times New Roman" w:hint="eastAsia"/>
          <w:sz w:val="20"/>
          <w:szCs w:val="20"/>
          <w:lang w:val="en-GB"/>
        </w:rPr>
        <w:t xml:space="preserve"> </w:t>
      </w:r>
      <w:r w:rsidRPr="00233574">
        <w:rPr>
          <w:rFonts w:ascii="Times New Roman" w:eastAsiaTheme="majorHAnsi" w:hAnsi="Times New Roman" w:cs="Times New Roman"/>
          <w:sz w:val="20"/>
          <w:szCs w:val="20"/>
          <w:lang w:val="en-GB"/>
        </w:rPr>
        <w:t xml:space="preserve">NOS: </w:t>
      </w:r>
      <w:r w:rsidRPr="00233574">
        <w:rPr>
          <w:rFonts w:ascii="Times New Roman" w:eastAsiaTheme="majorHAnsi" w:hAnsi="Times New Roman" w:cs="Times New Roman" w:hint="eastAsia"/>
          <w:sz w:val="20"/>
          <w:szCs w:val="20"/>
          <w:lang w:val="en-GB"/>
        </w:rPr>
        <w:t>Newcastle</w:t>
      </w:r>
      <w:r w:rsidRPr="00233574">
        <w:rPr>
          <w:rFonts w:ascii="Times New Roman" w:eastAsiaTheme="majorHAnsi" w:hAnsi="Times New Roman" w:cs="Times New Roman"/>
          <w:sz w:val="20"/>
          <w:szCs w:val="20"/>
          <w:lang w:val="en-GB"/>
        </w:rPr>
        <w:t>-O</w:t>
      </w:r>
      <w:r w:rsidRPr="00233574">
        <w:rPr>
          <w:rFonts w:ascii="Times New Roman" w:eastAsiaTheme="majorHAnsi" w:hAnsi="Times New Roman" w:cs="Times New Roman" w:hint="eastAsia"/>
          <w:sz w:val="20"/>
          <w:szCs w:val="20"/>
          <w:lang w:val="en-GB"/>
        </w:rPr>
        <w:t>ttawa</w:t>
      </w:r>
      <w:r w:rsidRPr="00233574">
        <w:rPr>
          <w:rFonts w:ascii="Times New Roman" w:eastAsiaTheme="majorHAnsi" w:hAnsi="Times New Roman" w:cs="Times New Roman"/>
          <w:sz w:val="20"/>
          <w:szCs w:val="20"/>
          <w:lang w:val="en-GB"/>
        </w:rPr>
        <w:t xml:space="preserve"> q</w:t>
      </w:r>
      <w:r w:rsidRPr="00233574">
        <w:rPr>
          <w:rFonts w:ascii="Times New Roman" w:eastAsiaTheme="majorHAnsi" w:hAnsi="Times New Roman" w:cs="Times New Roman" w:hint="eastAsia"/>
          <w:sz w:val="20"/>
          <w:szCs w:val="20"/>
          <w:lang w:val="en-GB"/>
        </w:rPr>
        <w:t>uality</w:t>
      </w:r>
      <w:r w:rsidRPr="00233574">
        <w:rPr>
          <w:rFonts w:ascii="Times New Roman" w:eastAsiaTheme="majorHAnsi" w:hAnsi="Times New Roman" w:cs="Times New Roman"/>
          <w:sz w:val="20"/>
          <w:szCs w:val="20"/>
          <w:lang w:val="en-GB"/>
        </w:rPr>
        <w:t xml:space="preserve"> a</w:t>
      </w:r>
      <w:r w:rsidRPr="00233574">
        <w:rPr>
          <w:rFonts w:ascii="Times New Roman" w:eastAsiaTheme="majorHAnsi" w:hAnsi="Times New Roman" w:cs="Times New Roman" w:hint="eastAsia"/>
          <w:sz w:val="20"/>
          <w:szCs w:val="20"/>
          <w:lang w:val="en-GB"/>
        </w:rPr>
        <w:t xml:space="preserve">ssessment </w:t>
      </w:r>
      <w:r w:rsidRPr="00233574">
        <w:rPr>
          <w:rFonts w:ascii="Times New Roman" w:eastAsiaTheme="majorHAnsi" w:hAnsi="Times New Roman" w:cs="Times New Roman"/>
          <w:sz w:val="20"/>
          <w:szCs w:val="20"/>
          <w:lang w:val="en-GB"/>
        </w:rPr>
        <w:t>s</w:t>
      </w:r>
      <w:r w:rsidRPr="00233574">
        <w:rPr>
          <w:rFonts w:ascii="Times New Roman" w:eastAsiaTheme="majorHAnsi" w:hAnsi="Times New Roman" w:cs="Times New Roman" w:hint="eastAsia"/>
          <w:sz w:val="20"/>
          <w:szCs w:val="20"/>
          <w:lang w:val="en-GB"/>
        </w:rPr>
        <w:t>cale</w:t>
      </w:r>
      <w:r w:rsidRPr="00233574">
        <w:rPr>
          <w:rFonts w:ascii="Times New Roman" w:eastAsiaTheme="majorHAnsi" w:hAnsi="Times New Roman" w:cs="Times New Roman"/>
          <w:sz w:val="20"/>
          <w:szCs w:val="20"/>
          <w:lang w:val="en-GB"/>
        </w:rPr>
        <w:t xml:space="preserve">, </w:t>
      </w:r>
      <w:r w:rsidRPr="00233574">
        <w:rPr>
          <w:rFonts w:ascii="Times New Roman" w:eastAsiaTheme="majorHAnsi" w:hAnsi="Times New Roman" w:cs="Times New Roman" w:hint="eastAsia"/>
          <w:sz w:val="20"/>
          <w:szCs w:val="20"/>
          <w:lang w:val="en-GB"/>
        </w:rPr>
        <w:t>Cohort</w:t>
      </w:r>
      <w:r w:rsidRPr="00233574">
        <w:rPr>
          <w:rFonts w:ascii="Times New Roman" w:eastAsiaTheme="majorHAnsi" w:hAnsi="Times New Roman" w:cs="Times New Roman"/>
          <w:sz w:val="20"/>
          <w:szCs w:val="20"/>
          <w:lang w:val="en-GB"/>
        </w:rPr>
        <w:t>: C</w:t>
      </w:r>
      <w:r w:rsidRPr="00233574">
        <w:rPr>
          <w:rFonts w:ascii="Times New Roman" w:eastAsiaTheme="majorHAnsi" w:hAnsi="Times New Roman" w:cs="Times New Roman" w:hint="eastAsia"/>
          <w:sz w:val="20"/>
          <w:szCs w:val="20"/>
          <w:lang w:val="en-GB"/>
        </w:rPr>
        <w:t>ohort study</w:t>
      </w:r>
      <w:r w:rsidRPr="00233574">
        <w:rPr>
          <w:rFonts w:ascii="Times New Roman" w:eastAsiaTheme="majorHAnsi" w:hAnsi="Times New Roman" w:cs="Times New Roman"/>
          <w:sz w:val="20"/>
          <w:szCs w:val="20"/>
          <w:lang w:val="en-GB"/>
        </w:rPr>
        <w:t>,</w:t>
      </w:r>
      <w:r w:rsidRPr="00233574">
        <w:rPr>
          <w:rFonts w:ascii="Times New Roman" w:eastAsiaTheme="majorHAnsi" w:hAnsi="Times New Roman" w:cs="Times New Roman" w:hint="eastAsia"/>
          <w:sz w:val="20"/>
          <w:szCs w:val="20"/>
          <w:lang w:val="en-GB"/>
        </w:rPr>
        <w:t xml:space="preserve"> CC</w:t>
      </w:r>
      <w:r w:rsidRPr="00233574">
        <w:rPr>
          <w:rFonts w:ascii="Times New Roman" w:eastAsiaTheme="majorHAnsi" w:hAnsi="Times New Roman" w:cs="Times New Roman"/>
          <w:sz w:val="20"/>
          <w:szCs w:val="20"/>
          <w:lang w:val="en-GB"/>
        </w:rPr>
        <w:t>: C</w:t>
      </w:r>
      <w:r w:rsidRPr="00233574">
        <w:rPr>
          <w:rFonts w:ascii="Times New Roman" w:eastAsiaTheme="majorHAnsi" w:hAnsi="Times New Roman" w:cs="Times New Roman" w:hint="eastAsia"/>
          <w:sz w:val="20"/>
          <w:szCs w:val="20"/>
          <w:lang w:val="en-GB"/>
        </w:rPr>
        <w:t xml:space="preserve">ase-control study </w:t>
      </w:r>
    </w:p>
    <w:p w14:paraId="56C60A6A" w14:textId="77777777" w:rsidR="00FE5226" w:rsidRDefault="00FE5226" w:rsidP="009B3762">
      <w:pPr>
        <w:spacing w:line="360" w:lineRule="auto"/>
        <w:jc w:val="left"/>
        <w:rPr>
          <w:rFonts w:ascii="Times New Roman" w:eastAsiaTheme="majorHAnsi" w:hAnsi="Times New Roman" w:cs="Times New Roman"/>
          <w:sz w:val="20"/>
          <w:szCs w:val="20"/>
          <w:lang w:val="en-GB"/>
        </w:rPr>
      </w:pPr>
    </w:p>
    <w:p w14:paraId="2285A6AF" w14:textId="153798CA" w:rsidR="00B63138" w:rsidRPr="00141240" w:rsidRDefault="00FE5226" w:rsidP="00B63138">
      <w:pPr>
        <w:spacing w:line="480" w:lineRule="auto"/>
        <w:rPr>
          <w:rFonts w:ascii="Times New Roman" w:eastAsiaTheme="majorHAnsi" w:hAnsi="Times New Roman" w:cs="Times New Roman"/>
          <w:sz w:val="24"/>
          <w:szCs w:val="24"/>
          <w:lang w:val="en-GB"/>
        </w:rPr>
      </w:pPr>
      <w:r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>Supplement</w:t>
      </w:r>
      <w:r w:rsidR="00B63138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 xml:space="preserve"> Figure</w:t>
      </w:r>
      <w:r w:rsidR="00B63138" w:rsidRPr="00141240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1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Forest plot of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 xml:space="preserve">efficacy profile 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>(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outcomes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: the predicted 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>decline in FVC%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(</w:t>
      </w:r>
      <w:r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Supplement</w:t>
      </w:r>
      <w:r w:rsidR="00B63138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 xml:space="preserve"> Figure</w:t>
      </w:r>
      <w:r w:rsidR="00B63138" w:rsidRPr="00BE5CA6"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1</w:t>
      </w:r>
      <w:r w:rsidR="00B63138" w:rsidRPr="00BE5CA6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-</w:t>
      </w:r>
      <w:r w:rsidR="00B63138" w:rsidRPr="00BE5CA6"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>a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>)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 xml:space="preserve">and 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>DLco%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(</w:t>
      </w:r>
      <w:r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Supplement</w:t>
      </w:r>
      <w:r w:rsidR="00B63138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 xml:space="preserve"> Figure</w:t>
      </w:r>
      <w:r w:rsidR="00B63138" w:rsidRPr="00BE5CA6"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1</w:t>
      </w:r>
      <w:r w:rsidR="00B63138" w:rsidRPr="00BE5CA6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-</w:t>
      </w:r>
      <w:r w:rsidR="00B63138"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>b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)) 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between </w:t>
      </w:r>
      <w:r w:rsidR="00B63138" w:rsidRPr="00141240">
        <w:rPr>
          <w:rFonts w:ascii="Times New Roman" w:eastAsia="等线 Light" w:hAnsi="Times New Roman" w:cs="Times New Roman"/>
          <w:sz w:val="24"/>
          <w:szCs w:val="24"/>
          <w:lang w:val="en-GB"/>
        </w:rPr>
        <w:t xml:space="preserve">the 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combined pirfenidone and acetylcysteine 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>group and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 w:rsidRPr="00141240">
        <w:rPr>
          <w:rFonts w:ascii="Times New Roman" w:eastAsia="等线 Light" w:hAnsi="Times New Roman" w:cs="Times New Roman"/>
          <w:sz w:val="24"/>
          <w:szCs w:val="24"/>
          <w:lang w:val="en-GB"/>
        </w:rPr>
        <w:t xml:space="preserve">the 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>pirfenidone alone group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with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only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oral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NAC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studies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>. FVC: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f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>orced vital capacity, PFD: pirfenidone, NAC: N-acetylcysteine.</w:t>
      </w:r>
    </w:p>
    <w:p w14:paraId="7C584A8F" w14:textId="77777777" w:rsidR="00B63138" w:rsidRPr="00141240" w:rsidRDefault="00B63138" w:rsidP="00B63138">
      <w:pPr>
        <w:spacing w:line="480" w:lineRule="auto"/>
        <w:rPr>
          <w:rFonts w:ascii="Times New Roman" w:eastAsiaTheme="majorHAnsi" w:hAnsi="Times New Roman" w:cs="Times New Roman"/>
          <w:sz w:val="24"/>
          <w:szCs w:val="24"/>
          <w:lang w:val="en-GB"/>
        </w:rPr>
      </w:pPr>
    </w:p>
    <w:p w14:paraId="6231389F" w14:textId="6F02FCC6" w:rsidR="00B63138" w:rsidRPr="00141240" w:rsidRDefault="00FE5226" w:rsidP="00B63138">
      <w:pPr>
        <w:spacing w:line="480" w:lineRule="auto"/>
        <w:rPr>
          <w:rFonts w:ascii="Times New Roman" w:eastAsiaTheme="majorHAnsi" w:hAnsi="Times New Roman" w:cs="Times New Roman"/>
          <w:sz w:val="24"/>
          <w:szCs w:val="24"/>
          <w:lang w:val="en-GB"/>
        </w:rPr>
      </w:pPr>
      <w:r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Supplement</w:t>
      </w:r>
      <w:r w:rsidR="00B63138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 xml:space="preserve"> Figure</w:t>
      </w:r>
      <w:r w:rsidR="00B63138" w:rsidRPr="00141240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2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bookmarkStart w:id="0" w:name="_Hlk15637792"/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Forest plot of 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the 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safety profile (outcome measure: at least one </w:t>
      </w:r>
      <w:r w:rsidR="00B63138" w:rsidRPr="00141240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side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effect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>Supplement</w:t>
      </w:r>
      <w:r w:rsidR="00B63138"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 xml:space="preserve"> Figure</w:t>
      </w:r>
      <w:r w:rsidR="00B63138" w:rsidRPr="00BE5CA6"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2</w:t>
      </w:r>
      <w:r w:rsidR="00B63138" w:rsidRPr="00BE5CA6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-</w:t>
      </w:r>
      <w:r w:rsidR="00B63138" w:rsidRPr="00BE5CA6"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>a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)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 xml:space="preserve">and </w:t>
      </w:r>
      <w:r w:rsidR="00B63138" w:rsidRPr="00BE5CA6">
        <w:rPr>
          <w:rFonts w:ascii="Times New Roman" w:eastAsiaTheme="majorHAnsi" w:hAnsi="Times New Roman" w:cs="Times New Roman"/>
          <w:sz w:val="24"/>
          <w:szCs w:val="24"/>
          <w:lang w:val="en-GB"/>
        </w:rPr>
        <w:t>tolerability profile (outcome measure: intolerable side effects leading to treatment discontinuation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>Supplement</w:t>
      </w:r>
      <w:r w:rsidR="00B63138"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 xml:space="preserve"> Figure</w:t>
      </w:r>
      <w:r w:rsidR="00B63138" w:rsidRPr="00BE5CA6"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2</w:t>
      </w:r>
      <w:r w:rsidR="00B63138" w:rsidRPr="00BE5CA6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-</w:t>
      </w:r>
      <w:r w:rsidR="00B63138" w:rsidRPr="00BE5CA6"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>b</w:t>
      </w:r>
      <w:r w:rsidR="00B63138" w:rsidRPr="00BE5CA6">
        <w:rPr>
          <w:rFonts w:ascii="Times New Roman" w:eastAsiaTheme="majorHAnsi" w:hAnsi="Times New Roman" w:cs="Times New Roman"/>
          <w:sz w:val="24"/>
          <w:szCs w:val="24"/>
          <w:lang w:val="en-GB"/>
        </w:rPr>
        <w:t>)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between </w:t>
      </w:r>
      <w:r w:rsidR="00B63138" w:rsidRPr="00141240">
        <w:rPr>
          <w:rFonts w:ascii="Times New Roman" w:eastAsia="等线 Light" w:hAnsi="Times New Roman" w:cs="Times New Roman"/>
          <w:sz w:val="24"/>
          <w:szCs w:val="24"/>
          <w:lang w:val="en-GB"/>
        </w:rPr>
        <w:t xml:space="preserve">the 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combined pirfenidone and acetylcysteine group and </w:t>
      </w:r>
      <w:r w:rsidR="00B63138" w:rsidRPr="00141240">
        <w:rPr>
          <w:rFonts w:ascii="Times New Roman" w:eastAsia="等线 Light" w:hAnsi="Times New Roman" w:cs="Times New Roman"/>
          <w:sz w:val="24"/>
          <w:szCs w:val="24"/>
          <w:lang w:val="en-GB"/>
        </w:rPr>
        <w:t xml:space="preserve">the 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>pirfenidone alone group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with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only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oral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NAC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studies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>. PFD: pirfenidone, NAC: N-acetylcysteine.</w:t>
      </w:r>
    </w:p>
    <w:bookmarkEnd w:id="0"/>
    <w:p w14:paraId="15562287" w14:textId="77777777" w:rsidR="00B63138" w:rsidRPr="00141240" w:rsidRDefault="00B63138" w:rsidP="00B63138">
      <w:pPr>
        <w:spacing w:line="480" w:lineRule="auto"/>
        <w:rPr>
          <w:rFonts w:ascii="Times New Roman" w:eastAsiaTheme="majorHAnsi" w:hAnsi="Times New Roman" w:cs="Times New Roman"/>
          <w:sz w:val="24"/>
          <w:szCs w:val="24"/>
          <w:lang w:val="en-GB"/>
        </w:rPr>
      </w:pPr>
    </w:p>
    <w:p w14:paraId="152E0BC1" w14:textId="1470EC2F" w:rsidR="00B63138" w:rsidRPr="00B63138" w:rsidRDefault="00FE5226" w:rsidP="00B63138">
      <w:pPr>
        <w:spacing w:line="480" w:lineRule="auto"/>
        <w:rPr>
          <w:rFonts w:ascii="Times New Roman" w:eastAsiaTheme="majorHAnsi" w:hAnsi="Times New Roman" w:cs="Times New Roman"/>
          <w:sz w:val="20"/>
          <w:szCs w:val="20"/>
          <w:lang w:val="en-GB"/>
        </w:rPr>
      </w:pPr>
      <w:r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Supplement</w:t>
      </w:r>
      <w:r w:rsidR="00B63138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 xml:space="preserve"> Figure</w:t>
      </w:r>
      <w:r w:rsidR="00B63138" w:rsidRPr="00141240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3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Forest plot of </w:t>
      </w:r>
      <w:bookmarkStart w:id="1" w:name="_Hlk15940275"/>
      <w:r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the</w:t>
      </w:r>
      <w:r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bookmarkStart w:id="2" w:name="_GoBack"/>
      <w:bookmarkEnd w:id="2"/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specific safety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profile (outcome measure: 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>gastrointestinal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 w:rsidRPr="00141240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side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effects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(</w:t>
      </w:r>
      <w:r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>Supplement</w:t>
      </w:r>
      <w:r w:rsidR="00B63138"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 xml:space="preserve"> Figure</w:t>
      </w:r>
      <w:r w:rsidR="00B63138" w:rsidRPr="00BE5CA6"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3</w:t>
      </w:r>
      <w:r w:rsidR="00B63138" w:rsidRPr="00BE5CA6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-</w:t>
      </w:r>
      <w:r w:rsidR="00B63138" w:rsidRPr="00BE5CA6"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>a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)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and skin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side effects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lastRenderedPageBreak/>
        <w:t>(</w:t>
      </w:r>
      <w:r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>Supplement</w:t>
      </w:r>
      <w:r w:rsidR="00B63138"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 xml:space="preserve"> Figure</w:t>
      </w:r>
      <w:r w:rsidR="00B63138" w:rsidRPr="00BE5CA6"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/>
          <w:b/>
          <w:bCs/>
          <w:sz w:val="24"/>
          <w:szCs w:val="24"/>
          <w:lang w:val="en-GB"/>
        </w:rPr>
        <w:t>3-</w:t>
      </w:r>
      <w:r w:rsidR="00B63138">
        <w:rPr>
          <w:rFonts w:ascii="Times New Roman" w:eastAsiaTheme="majorHAnsi" w:hAnsi="Times New Roman" w:cs="Times New Roman" w:hint="eastAsia"/>
          <w:b/>
          <w:bCs/>
          <w:sz w:val="24"/>
          <w:szCs w:val="24"/>
          <w:lang w:val="en-GB"/>
        </w:rPr>
        <w:t>b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>)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>)</w:t>
      </w:r>
      <w:bookmarkEnd w:id="1"/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between 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the 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combined pirfenidone and acetylcysteine group and 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the 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>pirfenidone alone group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with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only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oral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NAC</w:t>
      </w:r>
      <w:r w:rsidR="00B63138">
        <w:rPr>
          <w:rFonts w:ascii="Times New Roman" w:eastAsiaTheme="majorHAnsi" w:hAnsi="Times New Roman" w:cs="Times New Roman"/>
          <w:sz w:val="24"/>
          <w:szCs w:val="24"/>
          <w:lang w:val="en-GB"/>
        </w:rPr>
        <w:t xml:space="preserve"> </w:t>
      </w:r>
      <w:r w:rsidR="00B63138">
        <w:rPr>
          <w:rFonts w:ascii="Times New Roman" w:eastAsiaTheme="majorHAnsi" w:hAnsi="Times New Roman" w:cs="Times New Roman" w:hint="eastAsia"/>
          <w:sz w:val="24"/>
          <w:szCs w:val="24"/>
          <w:lang w:val="en-GB"/>
        </w:rPr>
        <w:t>studies</w:t>
      </w:r>
      <w:r w:rsidR="00B63138" w:rsidRPr="00141240">
        <w:rPr>
          <w:rFonts w:ascii="Times New Roman" w:eastAsiaTheme="majorHAnsi" w:hAnsi="Times New Roman" w:cs="Times New Roman"/>
          <w:sz w:val="24"/>
          <w:szCs w:val="24"/>
          <w:lang w:val="en-GB"/>
        </w:rPr>
        <w:t>. PFD: pirfenidone, NAC: N-acetylcysteine.</w:t>
      </w:r>
    </w:p>
    <w:sectPr w:rsidR="00B63138" w:rsidRPr="00B631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S0sDQ3MbIwMjYzNjJU0lEKTi0uzszPAykwqgUAmCVrLCwAAAA="/>
  </w:docVars>
  <w:rsids>
    <w:rsidRoot w:val="008A4E26"/>
    <w:rsid w:val="00233574"/>
    <w:rsid w:val="004F7252"/>
    <w:rsid w:val="0068140F"/>
    <w:rsid w:val="00830518"/>
    <w:rsid w:val="008A4E26"/>
    <w:rsid w:val="009726D2"/>
    <w:rsid w:val="009B3762"/>
    <w:rsid w:val="00B63138"/>
    <w:rsid w:val="00DA5028"/>
    <w:rsid w:val="00FE5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CA0EB"/>
  <w15:chartTrackingRefBased/>
  <w15:docId w15:val="{301EDCB3-3753-4572-8495-4FCE905F6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335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">
    <w:name w:val="Plain Table 4"/>
    <w:basedOn w:val="a1"/>
    <w:uiPriority w:val="44"/>
    <w:rsid w:val="0023357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hanyu shi</dc:creator>
  <cp:keywords/>
  <dc:description/>
  <cp:lastModifiedBy>hanyu shi</cp:lastModifiedBy>
  <cp:revision>8</cp:revision>
  <dcterms:created xsi:type="dcterms:W3CDTF">2019-08-02T03:22:00Z</dcterms:created>
  <dcterms:modified xsi:type="dcterms:W3CDTF">2019-09-25T08:12:00Z</dcterms:modified>
</cp:coreProperties>
</file>